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0A0994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0A0994">
        <w:rPr>
          <w:rFonts w:ascii="Times New Roman" w:hAnsi="Times New Roman"/>
          <w:b/>
          <w:smallCaps/>
          <w:sz w:val="28"/>
          <w:lang w:val="en-GB"/>
        </w:rPr>
        <w:t>g</w:t>
      </w:r>
      <w:r w:rsidRPr="000A0994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A0994">
        <w:rPr>
          <w:rFonts w:ascii="Times New Roman" w:hAnsi="Times New Roman"/>
          <w:b/>
          <w:smallCaps/>
          <w:sz w:val="28"/>
          <w:lang w:val="en-GB"/>
        </w:rPr>
        <w:t>b</w:t>
      </w:r>
      <w:r w:rsidRPr="000A0994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0A0994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0A0994" w:rsidRPr="000A0994" w:rsidRDefault="000A0994" w:rsidP="000A0994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0A0994">
        <w:rPr>
          <w:rFonts w:ascii="Times New Roman" w:hAnsi="Times New Roman"/>
          <w:b/>
          <w:sz w:val="22"/>
          <w:szCs w:val="22"/>
          <w:lang w:val="en-GB"/>
        </w:rPr>
        <w:t>Muzička</w:t>
      </w:r>
      <w:proofErr w:type="spellEnd"/>
      <w:r w:rsidRPr="000A099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0A0994">
        <w:rPr>
          <w:rFonts w:ascii="Times New Roman" w:hAnsi="Times New Roman"/>
          <w:b/>
          <w:sz w:val="22"/>
          <w:szCs w:val="22"/>
          <w:lang w:val="en-GB"/>
        </w:rPr>
        <w:t>omladina</w:t>
      </w:r>
      <w:proofErr w:type="spellEnd"/>
      <w:r w:rsidRPr="000A099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0A0994">
        <w:rPr>
          <w:rFonts w:ascii="Times New Roman" w:hAnsi="Times New Roman"/>
          <w:b/>
          <w:sz w:val="22"/>
          <w:szCs w:val="22"/>
          <w:lang w:val="en-GB"/>
        </w:rPr>
        <w:t>Novog</w:t>
      </w:r>
      <w:proofErr w:type="spellEnd"/>
      <w:r w:rsidRPr="000A099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0A0994">
        <w:rPr>
          <w:rFonts w:ascii="Times New Roman" w:hAnsi="Times New Roman"/>
          <w:b/>
          <w:sz w:val="22"/>
          <w:szCs w:val="22"/>
          <w:lang w:val="en-GB"/>
        </w:rPr>
        <w:t>Sada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(MONS)</w:t>
      </w:r>
    </w:p>
    <w:p w:rsidR="00AB471B" w:rsidRPr="009B30FB" w:rsidRDefault="000A0994" w:rsidP="000A099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0A0994">
        <w:rPr>
          <w:rFonts w:ascii="Times New Roman" w:hAnsi="Times New Roman"/>
          <w:sz w:val="22"/>
          <w:szCs w:val="22"/>
          <w:lang w:val="en-GB"/>
        </w:rPr>
        <w:t>Katolička</w:t>
      </w:r>
      <w:proofErr w:type="spellEnd"/>
      <w:r w:rsidRPr="000A0994">
        <w:rPr>
          <w:rFonts w:ascii="Times New Roman" w:hAnsi="Times New Roman"/>
          <w:sz w:val="22"/>
          <w:szCs w:val="22"/>
          <w:lang w:val="en-GB"/>
        </w:rPr>
        <w:t xml:space="preserve"> porta 2/II, Novi Sad, Serbia</w:t>
      </w:r>
      <w:r>
        <w:rPr>
          <w:rFonts w:ascii="Times New Roman" w:hAnsi="Times New Roman"/>
          <w:sz w:val="22"/>
          <w:szCs w:val="22"/>
          <w:lang w:val="en-GB"/>
        </w:rPr>
        <w:t xml:space="preserve">, represented by Milan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Radulović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>, Director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425637" w:rsidRPr="009B30FB" w:rsidRDefault="00425637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0A0994" w:rsidRPr="000A0994">
        <w:rPr>
          <w:rFonts w:ascii="Times New Roman" w:hAnsi="Times New Roman"/>
          <w:b/>
          <w:sz w:val="28"/>
          <w:lang w:val="en-GB"/>
        </w:rPr>
        <w:t>“</w:t>
      </w:r>
      <w:proofErr w:type="spellStart"/>
      <w:r w:rsidR="000A0994" w:rsidRPr="000A0994">
        <w:rPr>
          <w:rFonts w:ascii="Times New Roman" w:hAnsi="Times New Roman"/>
          <w:b/>
          <w:sz w:val="28"/>
          <w:lang w:val="en-GB"/>
        </w:rPr>
        <w:t>FILMharmonia</w:t>
      </w:r>
      <w:proofErr w:type="spellEnd"/>
      <w:r w:rsidR="000A0994" w:rsidRPr="000A0994">
        <w:rPr>
          <w:rFonts w:ascii="Times New Roman" w:hAnsi="Times New Roman"/>
          <w:b/>
          <w:sz w:val="28"/>
          <w:lang w:val="en-GB"/>
        </w:rPr>
        <w:t xml:space="preserve"> - Philharmonic in the movie programme”</w:t>
      </w:r>
    </w:p>
    <w:p w:rsidR="000A0994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4D2FD8" w:rsidRPr="007B70EE" w:rsidRDefault="000A0994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0A0994">
        <w:rPr>
          <w:rFonts w:ascii="Times New Roman" w:hAnsi="Times New Roman"/>
          <w:b/>
          <w:sz w:val="28"/>
          <w:lang w:val="en-GB"/>
        </w:rPr>
        <w:t>Supply of music instrument – GRAND PIANO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A0994" w:rsidRPr="000A0994">
        <w:rPr>
          <w:rFonts w:ascii="Times New Roman" w:hAnsi="Times New Roman"/>
          <w:b/>
          <w:sz w:val="22"/>
          <w:lang w:val="en-GB"/>
        </w:rPr>
        <w:t>SUP 2019-1</w:t>
      </w:r>
    </w:p>
    <w:p w:rsidR="00425637" w:rsidRDefault="00425637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</w:p>
    <w:p w:rsidR="00425637" w:rsidRPr="007B70EE" w:rsidRDefault="00425637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0A0994">
        <w:rPr>
          <w:rFonts w:ascii="Times New Roman" w:hAnsi="Times New Roman"/>
          <w:sz w:val="22"/>
          <w:lang w:val="en-GB"/>
        </w:rPr>
        <w:t xml:space="preserve">The subject of the contract shall be the </w:t>
      </w:r>
      <w:r w:rsidR="00D5158D" w:rsidRPr="000A0994">
        <w:rPr>
          <w:rFonts w:ascii="Times New Roman" w:hAnsi="Times New Roman"/>
          <w:sz w:val="22"/>
          <w:lang w:val="en-GB"/>
        </w:rPr>
        <w:t>supply</w:t>
      </w:r>
      <w:r w:rsidR="000A0994" w:rsidRPr="000A0994">
        <w:rPr>
          <w:rFonts w:ascii="Times New Roman" w:hAnsi="Times New Roman"/>
          <w:sz w:val="22"/>
          <w:lang w:val="en-GB"/>
        </w:rPr>
        <w:t xml:space="preserve"> and </w:t>
      </w:r>
      <w:r w:rsidRPr="000A0994">
        <w:rPr>
          <w:rFonts w:ascii="Times New Roman" w:hAnsi="Times New Roman"/>
          <w:sz w:val="22"/>
          <w:lang w:val="en-GB"/>
        </w:rPr>
        <w:t>delivery</w:t>
      </w:r>
      <w:r w:rsidR="000A0994" w:rsidRPr="000A0994">
        <w:rPr>
          <w:rFonts w:ascii="Times New Roman" w:hAnsi="Times New Roman"/>
          <w:sz w:val="22"/>
          <w:lang w:val="en-GB"/>
        </w:rPr>
        <w:t xml:space="preserve"> </w:t>
      </w:r>
      <w:r w:rsidRPr="000A0994">
        <w:rPr>
          <w:rFonts w:ascii="Times New Roman" w:hAnsi="Times New Roman"/>
          <w:sz w:val="22"/>
          <w:lang w:val="en-GB"/>
        </w:rPr>
        <w:t>of the following supplies: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705"/>
        <w:gridCol w:w="4712"/>
        <w:gridCol w:w="2769"/>
      </w:tblGrid>
      <w:tr w:rsidR="000A0994" w:rsidRPr="005453C4" w:rsidTr="00425637">
        <w:tc>
          <w:tcPr>
            <w:tcW w:w="563" w:type="dxa"/>
            <w:shd w:val="clear" w:color="auto" w:fill="D9D9D9"/>
          </w:tcPr>
          <w:p w:rsidR="000A0994" w:rsidRPr="005453C4" w:rsidRDefault="000A0994" w:rsidP="00490669">
            <w:pPr>
              <w:rPr>
                <w:rFonts w:ascii="Times New Roman" w:hAnsi="Times New Roman"/>
              </w:rPr>
            </w:pPr>
            <w:r w:rsidRPr="005453C4">
              <w:rPr>
                <w:rFonts w:ascii="Times New Roman" w:hAnsi="Times New Roman"/>
              </w:rPr>
              <w:t>ITEM</w:t>
            </w:r>
          </w:p>
        </w:tc>
        <w:tc>
          <w:tcPr>
            <w:tcW w:w="4808" w:type="dxa"/>
            <w:shd w:val="clear" w:color="auto" w:fill="D9D9D9"/>
          </w:tcPr>
          <w:p w:rsidR="000A0994" w:rsidRPr="005453C4" w:rsidRDefault="000A0994" w:rsidP="00490669">
            <w:pPr>
              <w:jc w:val="center"/>
              <w:rPr>
                <w:rFonts w:ascii="Times New Roman" w:hAnsi="Times New Roman"/>
              </w:rPr>
            </w:pPr>
            <w:r w:rsidRPr="005453C4">
              <w:rPr>
                <w:rFonts w:ascii="Times New Roman" w:hAnsi="Times New Roman"/>
              </w:rPr>
              <w:t>DESCRIPTION</w:t>
            </w:r>
          </w:p>
        </w:tc>
        <w:tc>
          <w:tcPr>
            <w:tcW w:w="2815" w:type="dxa"/>
            <w:shd w:val="clear" w:color="auto" w:fill="D9D9D9"/>
          </w:tcPr>
          <w:p w:rsidR="000A0994" w:rsidRPr="005453C4" w:rsidRDefault="000A0994" w:rsidP="00490669">
            <w:pPr>
              <w:jc w:val="center"/>
              <w:rPr>
                <w:rFonts w:ascii="Times New Roman" w:hAnsi="Times New Roman"/>
              </w:rPr>
            </w:pPr>
            <w:r w:rsidRPr="005453C4">
              <w:rPr>
                <w:rFonts w:ascii="Times New Roman" w:hAnsi="Times New Roman"/>
              </w:rPr>
              <w:t>QUANTITY</w:t>
            </w:r>
          </w:p>
        </w:tc>
      </w:tr>
      <w:tr w:rsidR="000A0994" w:rsidRPr="005453C4" w:rsidTr="00425637">
        <w:tc>
          <w:tcPr>
            <w:tcW w:w="563" w:type="dxa"/>
          </w:tcPr>
          <w:p w:rsidR="000A0994" w:rsidRPr="005453C4" w:rsidRDefault="000A0994" w:rsidP="00490669">
            <w:pPr>
              <w:jc w:val="center"/>
              <w:rPr>
                <w:rFonts w:ascii="Times New Roman" w:hAnsi="Times New Roman"/>
              </w:rPr>
            </w:pPr>
            <w:r w:rsidRPr="005453C4">
              <w:rPr>
                <w:rFonts w:ascii="Times New Roman" w:hAnsi="Times New Roman"/>
              </w:rPr>
              <w:t>1</w:t>
            </w:r>
          </w:p>
        </w:tc>
        <w:tc>
          <w:tcPr>
            <w:tcW w:w="4808" w:type="dxa"/>
          </w:tcPr>
          <w:p w:rsidR="000A0994" w:rsidRPr="005453C4" w:rsidRDefault="000A0994" w:rsidP="00490669">
            <w:pPr>
              <w:rPr>
                <w:rFonts w:ascii="Times New Roman" w:hAnsi="Times New Roman"/>
              </w:rPr>
            </w:pPr>
            <w:r w:rsidRPr="005453C4">
              <w:rPr>
                <w:rFonts w:ascii="Times New Roman" w:hAnsi="Times New Roman"/>
              </w:rPr>
              <w:t>MUSIC INSTRUMENT – GRAND PIANO</w:t>
            </w:r>
          </w:p>
        </w:tc>
        <w:tc>
          <w:tcPr>
            <w:tcW w:w="2815" w:type="dxa"/>
          </w:tcPr>
          <w:p w:rsidR="000A0994" w:rsidRPr="005453C4" w:rsidRDefault="000A0994" w:rsidP="00490669">
            <w:pPr>
              <w:jc w:val="center"/>
              <w:rPr>
                <w:rFonts w:ascii="Times New Roman" w:hAnsi="Times New Roman"/>
              </w:rPr>
            </w:pPr>
            <w:r w:rsidRPr="005453C4">
              <w:rPr>
                <w:rFonts w:ascii="Times New Roman" w:hAnsi="Times New Roman"/>
              </w:rPr>
              <w:t>1</w:t>
            </w:r>
          </w:p>
        </w:tc>
      </w:tr>
    </w:tbl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0A0994" w:rsidRPr="000A0994">
        <w:rPr>
          <w:rFonts w:ascii="Times New Roman" w:hAnsi="Times New Roman"/>
          <w:b/>
          <w:sz w:val="22"/>
          <w:lang w:val="en-GB"/>
        </w:rPr>
        <w:t>Katolička</w:t>
      </w:r>
      <w:proofErr w:type="spellEnd"/>
      <w:r w:rsidR="000A0994" w:rsidRPr="000A0994">
        <w:rPr>
          <w:rFonts w:ascii="Times New Roman" w:hAnsi="Times New Roman"/>
          <w:b/>
          <w:sz w:val="22"/>
          <w:lang w:val="en-GB"/>
        </w:rPr>
        <w:t xml:space="preserve"> porta 2/II, Novi Sad,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</w:t>
      </w:r>
      <w:r w:rsidRPr="000A0994">
        <w:rPr>
          <w:rFonts w:ascii="Times New Roman" w:hAnsi="Times New Roman"/>
          <w:sz w:val="22"/>
          <w:lang w:val="en-GB"/>
        </w:rPr>
        <w:t xml:space="preserve">shall be </w:t>
      </w:r>
      <w:r w:rsidR="00425637">
        <w:rPr>
          <w:rFonts w:ascii="Times New Roman" w:hAnsi="Times New Roman"/>
          <w:sz w:val="22"/>
          <w:lang w:val="en-GB"/>
        </w:rPr>
        <w:t xml:space="preserve"> DD</w:t>
      </w:r>
      <w:r w:rsidR="0076436E" w:rsidRPr="000A0994">
        <w:rPr>
          <w:rFonts w:ascii="Times New Roman" w:hAnsi="Times New Roman"/>
          <w:sz w:val="22"/>
          <w:lang w:val="en-GB"/>
        </w:rPr>
        <w:t>P</w:t>
      </w:r>
      <w:r w:rsidR="00E2190B" w:rsidRPr="000A0994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A0994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0A0994" w:rsidRDefault="004D2FD8" w:rsidP="00514BE0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0A0994">
        <w:rPr>
          <w:rFonts w:ascii="Times New Roman" w:hAnsi="Times New Roman"/>
          <w:sz w:val="22"/>
          <w:lang w:val="en-GB"/>
        </w:rPr>
        <w:t>&lt;</w:t>
      </w:r>
      <w:r w:rsidR="000A0994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0A0994">
        <w:rPr>
          <w:rFonts w:ascii="Times New Roman" w:hAnsi="Times New Roman"/>
          <w:sz w:val="22"/>
          <w:lang w:val="en-GB"/>
        </w:rPr>
        <w:t xml:space="preserve">&gt; </w:t>
      </w:r>
      <w:r w:rsidR="001E684B" w:rsidRPr="000A0994">
        <w:rPr>
          <w:rFonts w:ascii="Times New Roman" w:hAnsi="Times New Roman"/>
          <w:sz w:val="22"/>
          <w:lang w:val="en-GB"/>
        </w:rPr>
        <w:t>EUR</w:t>
      </w:r>
      <w:r w:rsidR="000A0994" w:rsidRPr="000A0994">
        <w:rPr>
          <w:rFonts w:ascii="Times New Roman" w:hAnsi="Times New Roman"/>
          <w:sz w:val="22"/>
          <w:lang w:val="en-GB"/>
        </w:rPr>
        <w:t>.</w:t>
      </w:r>
    </w:p>
    <w:p w:rsidR="000A0994" w:rsidRPr="000A0994" w:rsidRDefault="000A0994" w:rsidP="000A0994">
      <w:pPr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A0994">
        <w:rPr>
          <w:rFonts w:ascii="Times New Roman" w:hAnsi="Times New Roman"/>
          <w:sz w:val="22"/>
          <w:lang w:val="en-GB"/>
        </w:rPr>
        <w:t xml:space="preserve">If applicable, where a candidate refers to amounts originally expressed in a different currency, the conversion to EUR shall be made in accordance with the </w:t>
      </w:r>
      <w:proofErr w:type="spellStart"/>
      <w:r w:rsidRPr="000A0994">
        <w:rPr>
          <w:rFonts w:ascii="Times New Roman" w:hAnsi="Times New Roman"/>
          <w:sz w:val="22"/>
          <w:lang w:val="en-GB"/>
        </w:rPr>
        <w:t>InforEuro</w:t>
      </w:r>
      <w:proofErr w:type="spellEnd"/>
      <w:r w:rsidRPr="000A0994">
        <w:rPr>
          <w:rFonts w:ascii="Times New Roman" w:hAnsi="Times New Roman"/>
          <w:sz w:val="22"/>
          <w:lang w:val="en-GB"/>
        </w:rPr>
        <w:t xml:space="preserve"> exchange rate of </w:t>
      </w:r>
      <w:r w:rsidRPr="00425637">
        <w:rPr>
          <w:rFonts w:ascii="Times New Roman" w:hAnsi="Times New Roman"/>
          <w:sz w:val="22"/>
          <w:u w:val="single"/>
          <w:lang w:val="en-GB"/>
        </w:rPr>
        <w:t>July 2019</w:t>
      </w:r>
      <w:r w:rsidRPr="000A0994">
        <w:rPr>
          <w:rFonts w:ascii="Times New Roman" w:hAnsi="Times New Roman"/>
          <w:sz w:val="22"/>
          <w:lang w:val="en-GB"/>
        </w:rPr>
        <w:t xml:space="preserve"> which can correspond to the month and year of the publication of the present contract notice, which can be found at the following address: </w:t>
      </w:r>
      <w:hyperlink r:id="rId8" w:history="1">
        <w:r w:rsidRPr="006E4F8A">
          <w:rPr>
            <w:rStyle w:val="Hyperlink"/>
            <w:rFonts w:ascii="Times New Roman" w:hAnsi="Times New Roman"/>
            <w:sz w:val="22"/>
            <w:lang w:val="en-GB"/>
          </w:rPr>
          <w:t>http://ec.europa.eu/budget/graphs/inforeuro.html</w:t>
        </w:r>
      </w:hyperlink>
      <w:r w:rsidRPr="000A0994">
        <w:rPr>
          <w:rFonts w:ascii="Times New Roman" w:hAnsi="Times New Roman"/>
          <w:sz w:val="22"/>
          <w:lang w:val="en-GB"/>
        </w:rPr>
        <w:t>.</w:t>
      </w:r>
      <w:r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</w:t>
      </w:r>
      <w:r w:rsidR="000A0994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0A0994">
        <w:rPr>
          <w:rFonts w:ascii="Times New Roman" w:hAnsi="Times New Roman"/>
          <w:sz w:val="22"/>
          <w:lang w:val="en-GB"/>
        </w:rPr>
        <w:t>);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CA09B7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25637">
        <w:rPr>
          <w:rFonts w:ascii="Times New Roman" w:hAnsi="Times New Roman"/>
          <w:sz w:val="22"/>
          <w:highlight w:val="yellow"/>
          <w:lang w:val="en-GB"/>
        </w:rPr>
        <w:t xml:space="preserve">specified </w:t>
      </w:r>
      <w:r w:rsidR="00B80DE8" w:rsidRPr="00425637">
        <w:rPr>
          <w:rFonts w:ascii="Times New Roman" w:hAnsi="Times New Roman"/>
          <w:sz w:val="22"/>
          <w:highlight w:val="yellow"/>
          <w:lang w:val="en-GB"/>
        </w:rPr>
        <w:t>forms and other relevant documents</w:t>
      </w:r>
      <w:r w:rsidR="00085CA1" w:rsidRPr="00425637">
        <w:rPr>
          <w:rFonts w:ascii="Times New Roman" w:hAnsi="Times New Roman"/>
          <w:sz w:val="22"/>
          <w:highlight w:val="yellow"/>
          <w:lang w:val="en-GB"/>
        </w:rPr>
        <w:t xml:space="preserve"> (Annex V</w:t>
      </w:r>
      <w:r w:rsidR="00216F0D" w:rsidRPr="00425637">
        <w:rPr>
          <w:rFonts w:ascii="Times New Roman" w:hAnsi="Times New Roman"/>
          <w:sz w:val="22"/>
          <w:highlight w:val="yellow"/>
          <w:lang w:val="en-GB"/>
        </w:rPr>
        <w:t>)</w:t>
      </w:r>
      <w:r w:rsidR="00CA09B7">
        <w:rPr>
          <w:rFonts w:ascii="Times New Roman" w:hAnsi="Times New Roman"/>
          <w:sz w:val="22"/>
          <w:lang w:val="en-GB"/>
        </w:rPr>
        <w:t>:</w:t>
      </w:r>
    </w:p>
    <w:p w:rsidR="00CA09B7" w:rsidRPr="00CA09B7" w:rsidRDefault="00CA09B7" w:rsidP="00CA09B7">
      <w:pPr>
        <w:numPr>
          <w:ilvl w:val="2"/>
          <w:numId w:val="1"/>
        </w:numPr>
        <w:spacing w:before="0" w:after="0"/>
        <w:jc w:val="both"/>
        <w:rPr>
          <w:rFonts w:ascii="Times New Roman" w:hAnsi="Times New Roman"/>
          <w:sz w:val="22"/>
          <w:highlight w:val="yellow"/>
          <w:lang w:val="en-GB"/>
        </w:rPr>
      </w:pPr>
      <w:r w:rsidRPr="00CA09B7">
        <w:rPr>
          <w:rFonts w:ascii="Times New Roman" w:hAnsi="Times New Roman"/>
          <w:sz w:val="22"/>
          <w:highlight w:val="yellow"/>
          <w:lang w:val="en-GB"/>
        </w:rPr>
        <w:t>-</w:t>
      </w:r>
      <w:r w:rsidRPr="00CA09B7">
        <w:rPr>
          <w:rFonts w:ascii="Times New Roman" w:hAnsi="Times New Roman"/>
          <w:sz w:val="22"/>
          <w:highlight w:val="yellow"/>
          <w:lang w:val="en-GB"/>
        </w:rPr>
        <w:tab/>
        <w:t>LEF</w:t>
      </w:r>
    </w:p>
    <w:p w:rsidR="00CA09B7" w:rsidRPr="00CA09B7" w:rsidRDefault="00CA09B7" w:rsidP="00CA09B7">
      <w:pPr>
        <w:numPr>
          <w:ilvl w:val="2"/>
          <w:numId w:val="1"/>
        </w:numPr>
        <w:spacing w:before="0" w:after="0"/>
        <w:jc w:val="both"/>
        <w:rPr>
          <w:rFonts w:ascii="Times New Roman" w:hAnsi="Times New Roman"/>
          <w:sz w:val="22"/>
          <w:highlight w:val="yellow"/>
          <w:lang w:val="en-GB"/>
        </w:rPr>
      </w:pPr>
      <w:bookmarkStart w:id="2" w:name="_GoBack"/>
      <w:bookmarkEnd w:id="2"/>
      <w:r w:rsidRPr="00CA09B7">
        <w:rPr>
          <w:rFonts w:ascii="Times New Roman" w:hAnsi="Times New Roman"/>
          <w:sz w:val="22"/>
          <w:highlight w:val="yellow"/>
          <w:lang w:val="en-GB"/>
        </w:rPr>
        <w:t>-</w:t>
      </w:r>
      <w:r w:rsidRPr="00CA09B7">
        <w:rPr>
          <w:rFonts w:ascii="Times New Roman" w:hAnsi="Times New Roman"/>
          <w:sz w:val="22"/>
          <w:highlight w:val="yellow"/>
          <w:lang w:val="en-GB"/>
        </w:rPr>
        <w:tab/>
        <w:t>FIF</w:t>
      </w:r>
    </w:p>
    <w:p w:rsidR="00B80DE8" w:rsidRPr="00CA09B7" w:rsidRDefault="00CA09B7" w:rsidP="00CA09B7">
      <w:pPr>
        <w:numPr>
          <w:ilvl w:val="2"/>
          <w:numId w:val="1"/>
        </w:numPr>
        <w:spacing w:before="0" w:after="0"/>
        <w:jc w:val="both"/>
        <w:rPr>
          <w:rFonts w:ascii="Times New Roman" w:hAnsi="Times New Roman"/>
          <w:sz w:val="22"/>
          <w:highlight w:val="yellow"/>
          <w:lang w:val="en-GB"/>
        </w:rPr>
      </w:pPr>
      <w:r w:rsidRPr="00CA09B7">
        <w:rPr>
          <w:rFonts w:ascii="Times New Roman" w:hAnsi="Times New Roman"/>
          <w:sz w:val="22"/>
          <w:highlight w:val="yellow"/>
          <w:lang w:val="en-GB"/>
        </w:rPr>
        <w:t>-</w:t>
      </w:r>
      <w:r w:rsidRPr="00CA09B7">
        <w:rPr>
          <w:rFonts w:ascii="Times New Roman" w:hAnsi="Times New Roman"/>
          <w:sz w:val="22"/>
          <w:highlight w:val="yellow"/>
          <w:lang w:val="en-GB"/>
        </w:rPr>
        <w:tab/>
        <w:t>Performance guarantee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425637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425637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425637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425637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25637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425637" w:rsidRDefault="00462120" w:rsidP="00425637">
      <w:pPr>
        <w:rPr>
          <w:rFonts w:ascii="Times New Roman" w:hAnsi="Times New Roman"/>
          <w:sz w:val="22"/>
          <w:szCs w:val="22"/>
        </w:rPr>
      </w:pPr>
      <w:r w:rsidRPr="00425637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425637">
        <w:rPr>
          <w:rFonts w:ascii="Times New Roman" w:hAnsi="Times New Roman"/>
          <w:sz w:val="22"/>
          <w:szCs w:val="22"/>
        </w:rPr>
        <w:t xml:space="preserve"> </w:t>
      </w:r>
      <w:r w:rsidRPr="00425637">
        <w:rPr>
          <w:rFonts w:ascii="Times New Roman" w:hAnsi="Times New Roman"/>
          <w:sz w:val="22"/>
          <w:szCs w:val="22"/>
        </w:rPr>
        <w:t>the head of contracts and finance unit R4 of DG Neighbourho</w:t>
      </w:r>
      <w:r w:rsidR="000A0994" w:rsidRPr="00425637">
        <w:rPr>
          <w:rFonts w:ascii="Times New Roman" w:hAnsi="Times New Roman"/>
          <w:sz w:val="22"/>
          <w:szCs w:val="22"/>
        </w:rPr>
        <w:t>od and Enlargement Negotiations.</w:t>
      </w:r>
    </w:p>
    <w:p w:rsidR="00462120" w:rsidRPr="0068104F" w:rsidRDefault="00462120" w:rsidP="00425637">
      <w:pPr>
        <w:spacing w:before="100" w:beforeAutospacing="1" w:after="100" w:afterAutospacing="1"/>
        <w:rPr>
          <w:rFonts w:ascii="Times New Roman" w:hAnsi="Times New Roman"/>
          <w:color w:val="0563C1"/>
          <w:sz w:val="22"/>
          <w:szCs w:val="22"/>
          <w:u w:val="single"/>
        </w:rPr>
      </w:pPr>
      <w:r w:rsidRPr="00425637">
        <w:rPr>
          <w:rFonts w:ascii="Times New Roman" w:hAnsi="Times New Roman"/>
          <w:sz w:val="22"/>
          <w:szCs w:val="22"/>
        </w:rPr>
        <w:t xml:space="preserve">(b) </w:t>
      </w:r>
      <w:r w:rsidRPr="00425637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425637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425637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425637">
        <w:rPr>
          <w:rStyle w:val="Hyperlink"/>
          <w:rFonts w:ascii="Times New Roman" w:hAnsi="Times New Roman"/>
          <w:sz w:val="22"/>
          <w:szCs w:val="22"/>
        </w:rPr>
        <w:t>.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</w:p>
    <w:p w:rsidR="000A0994" w:rsidRDefault="000A0994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42563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425637">
        <w:rPr>
          <w:rFonts w:ascii="Times New Roman" w:hAnsi="Times New Roman"/>
          <w:sz w:val="22"/>
          <w:szCs w:val="22"/>
          <w:highlight w:val="yellow"/>
          <w:lang w:val="en-GB"/>
        </w:rPr>
        <w:t>two</w:t>
      </w:r>
      <w:r w:rsidR="00425637" w:rsidRPr="00425637">
        <w:rPr>
          <w:rFonts w:ascii="Times New Roman" w:hAnsi="Times New Roman"/>
          <w:sz w:val="22"/>
          <w:szCs w:val="22"/>
          <w:highlight w:val="yellow"/>
          <w:lang w:val="en-GB"/>
        </w:rPr>
        <w:t xml:space="preserve"> (2)</w:t>
      </w:r>
      <w:r w:rsidR="00227A05" w:rsidRPr="00425637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Pr="00425637">
        <w:rPr>
          <w:rFonts w:ascii="Times New Roman" w:hAnsi="Times New Roman"/>
          <w:sz w:val="22"/>
          <w:szCs w:val="22"/>
          <w:highlight w:val="yellow"/>
          <w:lang w:val="en-GB"/>
        </w:rPr>
        <w:t>originals</w:t>
      </w:r>
      <w:r w:rsidRPr="00425637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425637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425637">
        <w:rPr>
          <w:rFonts w:ascii="Times New Roman" w:hAnsi="Times New Roman"/>
          <w:sz w:val="22"/>
          <w:lang w:val="en-GB"/>
        </w:rPr>
        <w:t>c</w:t>
      </w:r>
      <w:r w:rsidRPr="00425637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425637">
        <w:rPr>
          <w:rFonts w:ascii="Times New Roman" w:hAnsi="Times New Roman"/>
          <w:sz w:val="22"/>
          <w:lang w:val="en-GB"/>
        </w:rPr>
        <w:t>a</w:t>
      </w:r>
      <w:r w:rsidR="00C547AE" w:rsidRPr="00425637">
        <w:rPr>
          <w:rFonts w:ascii="Times New Roman" w:hAnsi="Times New Roman"/>
          <w:sz w:val="22"/>
          <w:lang w:val="en-GB"/>
        </w:rPr>
        <w:t xml:space="preserve">uthority </w:t>
      </w:r>
      <w:r w:rsidRPr="00425637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425637">
        <w:rPr>
          <w:rFonts w:ascii="Times New Roman" w:hAnsi="Times New Roman"/>
          <w:sz w:val="22"/>
          <w:lang w:val="en-GB"/>
        </w:rPr>
        <w:t>c</w:t>
      </w:r>
      <w:r w:rsidR="002D47E8" w:rsidRPr="00425637">
        <w:rPr>
          <w:rFonts w:ascii="Times New Roman" w:hAnsi="Times New Roman"/>
          <w:sz w:val="22"/>
          <w:lang w:val="en-GB"/>
        </w:rPr>
        <w:t>ontractor</w:t>
      </w:r>
      <w:r w:rsidRPr="00425637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6B" w:rsidRDefault="006B416B">
      <w:r>
        <w:separator/>
      </w:r>
    </w:p>
    <w:p w:rsidR="006B416B" w:rsidRDefault="006B416B"/>
  </w:endnote>
  <w:endnote w:type="continuationSeparator" w:id="0">
    <w:p w:rsidR="006B416B" w:rsidRDefault="006B416B">
      <w:r>
        <w:continuationSeparator/>
      </w:r>
    </w:p>
    <w:p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51F6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51F6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:rsidR="006B416B" w:rsidRDefault="006B416B">
      <w:r>
        <w:continuationSeparator/>
      </w:r>
    </w:p>
    <w:p w:rsidR="006B416B" w:rsidRDefault="006B416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425637">
        <w:rPr>
          <w:rStyle w:val="FootnoteReference"/>
        </w:rPr>
        <w:footnoteRef/>
      </w:r>
      <w:r w:rsidR="00764FC7" w:rsidRPr="00425637">
        <w:rPr>
          <w:lang w:val="en-GB"/>
        </w:rPr>
        <w:tab/>
      </w:r>
      <w:r w:rsidR="000A0994" w:rsidRPr="00425637">
        <w:rPr>
          <w:lang w:val="en-GB"/>
        </w:rPr>
        <w:t xml:space="preserve"> DAP (Delivered At Place)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 xml:space="preserve">- 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0994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5637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1F6C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47AE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09B7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A169A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budget/graphs/inforeuro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60410-11DF-4BAA-AB32-FBF6937B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575</Words>
  <Characters>3318</Characters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3886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2019-07-18T12:59:00Z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